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BBAED" w14:textId="77777777" w:rsidR="002A4DFC" w:rsidRPr="00141FB8" w:rsidRDefault="002A4DFC" w:rsidP="002A4DFC">
      <w:pPr>
        <w:spacing w:line="276" w:lineRule="auto"/>
        <w:jc w:val="center"/>
        <w:rPr>
          <w:rFonts w:eastAsia="MS ??" w:cs="Calibri"/>
          <w:b/>
          <w:bCs/>
          <w:caps/>
          <w:color w:val="31849B"/>
          <w:sz w:val="36"/>
          <w:szCs w:val="36"/>
          <w:lang w:eastAsia="sl-SI"/>
        </w:rPr>
      </w:pPr>
      <w:bookmarkStart w:id="0" w:name="_Hlk112322262"/>
      <w:r>
        <w:rPr>
          <w:rFonts w:eastAsia="MS ??" w:cs="Calibri"/>
          <w:b/>
          <w:caps/>
          <w:color w:val="595959"/>
          <w:sz w:val="36"/>
          <w:szCs w:val="36"/>
          <w:lang w:eastAsia="sl-SI"/>
        </w:rPr>
        <w:t xml:space="preserve">TEHNIČNE SPECIFIKACIJE </w:t>
      </w:r>
    </w:p>
    <w:bookmarkEnd w:id="0"/>
    <w:p w14:paraId="1A2ED8F0" w14:textId="2E68D36E" w:rsidR="002A4DFC" w:rsidRPr="00141FB8" w:rsidRDefault="287EBB20" w:rsidP="002A4DFC">
      <w:pPr>
        <w:spacing w:line="276" w:lineRule="auto"/>
        <w:jc w:val="center"/>
      </w:pPr>
      <w:r w:rsidRPr="47F9BCA3">
        <w:rPr>
          <w:rFonts w:eastAsia="MS ??" w:cs="Calibri"/>
          <w:caps/>
          <w:sz w:val="36"/>
          <w:szCs w:val="36"/>
          <w:lang w:eastAsia="sl-SI"/>
        </w:rPr>
        <w:t>Sklop 1</w:t>
      </w:r>
      <w:r w:rsidR="00591268">
        <w:rPr>
          <w:rFonts w:eastAsia="MS ??" w:cs="Calibri"/>
          <w:caps/>
          <w:sz w:val="36"/>
          <w:szCs w:val="36"/>
          <w:lang w:eastAsia="sl-SI"/>
        </w:rPr>
        <w:t>:</w:t>
      </w:r>
      <w:r w:rsidR="13037A84" w:rsidRPr="47F9BCA3">
        <w:rPr>
          <w:rFonts w:eastAsia="MS ??" w:cs="Calibri"/>
          <w:caps/>
          <w:sz w:val="36"/>
          <w:szCs w:val="36"/>
          <w:lang w:eastAsia="sl-SI"/>
        </w:rPr>
        <w:t xml:space="preserve"> </w:t>
      </w:r>
      <w:r w:rsidRPr="47F9BCA3">
        <w:rPr>
          <w:rFonts w:eastAsia="MS ??" w:cs="Calibri"/>
          <w:caps/>
          <w:sz w:val="36"/>
          <w:szCs w:val="36"/>
          <w:lang w:eastAsia="sl-SI"/>
        </w:rPr>
        <w:t>Strežnik za AI</w:t>
      </w:r>
    </w:p>
    <w:p w14:paraId="12452391" w14:textId="77777777" w:rsidR="002A4DFC" w:rsidRDefault="002A4DFC" w:rsidP="002A4DFC"/>
    <w:p w14:paraId="017223E2" w14:textId="77777777" w:rsidR="002A4DFC" w:rsidRDefault="002A4DFC" w:rsidP="002A4DFC">
      <w:r>
        <w:t>Navedene so minimalne zahteve za blago oz. storitve. Če ponujeno blago oz. storitve ne ustrezajo minimalnim tehničnim in drugim zahtevam naročnika, se ponudba izloči.</w:t>
      </w:r>
    </w:p>
    <w:p w14:paraId="12D73D0B" w14:textId="77777777" w:rsidR="002A4DFC" w:rsidRDefault="002A4DFC" w:rsidP="002A4DFC"/>
    <w:p w14:paraId="2CE24374" w14:textId="77777777" w:rsidR="002A4DFC" w:rsidRDefault="002A4DFC" w:rsidP="002A4DFC"/>
    <w:p w14:paraId="5E21B4C9" w14:textId="77777777" w:rsidR="004B075A" w:rsidRDefault="004B075A" w:rsidP="002A4DFC"/>
    <w:p w14:paraId="7F427AD9" w14:textId="2EAE911A" w:rsidR="002A4DFC" w:rsidRDefault="002A4DFC" w:rsidP="002A4DFC">
      <w:r>
        <w:t>Strežnik mora ustrezati naslednjim tehničnim zahtevam:</w:t>
      </w:r>
      <w:r>
        <w:tab/>
      </w:r>
    </w:p>
    <w:p w14:paraId="346FE280" w14:textId="77777777" w:rsidR="002A4DFC" w:rsidRDefault="002A4DFC" w:rsidP="002A4DFC"/>
    <w:p w14:paraId="52C1AA49" w14:textId="3769484C" w:rsidR="004B075A" w:rsidRDefault="002A4DFC" w:rsidP="002A4DFC">
      <w:r>
        <w:t xml:space="preserve">Tehnična specifikacija </w:t>
      </w:r>
    </w:p>
    <w:p w14:paraId="43B62954" w14:textId="77777777" w:rsidR="004B075A" w:rsidRDefault="004B075A" w:rsidP="002A4DFC"/>
    <w:p w14:paraId="33A52AEC" w14:textId="77777777" w:rsidR="00CD126D" w:rsidRPr="00CD126D" w:rsidRDefault="00CD126D" w:rsidP="00CD126D">
      <w:pPr>
        <w:rPr>
          <w:b/>
          <w:bCs/>
        </w:rPr>
      </w:pPr>
      <w:r w:rsidRPr="00CD126D">
        <w:rPr>
          <w:b/>
          <w:bCs/>
        </w:rPr>
        <w:t>Šasija in ohišje</w:t>
      </w:r>
    </w:p>
    <w:p w14:paraId="626C5F6C" w14:textId="77777777" w:rsidR="00CD126D" w:rsidRPr="00CD126D" w:rsidRDefault="00CD126D" w:rsidP="00CD126D">
      <w:pPr>
        <w:numPr>
          <w:ilvl w:val="0"/>
          <w:numId w:val="1"/>
        </w:numPr>
        <w:rPr>
          <w:b/>
          <w:bCs/>
        </w:rPr>
      </w:pPr>
      <w:r w:rsidRPr="00CD126D">
        <w:rPr>
          <w:b/>
          <w:bCs/>
        </w:rPr>
        <w:t>Strežniško ohišje za vgradnjo v standardno 19" omaro, največ 2U (npr. HPE ProLiant Compute DL384 Gen12 ali enakovredno).</w:t>
      </w:r>
    </w:p>
    <w:p w14:paraId="72959B35" w14:textId="77777777" w:rsidR="00CD126D" w:rsidRDefault="00CD126D" w:rsidP="00CD126D">
      <w:pPr>
        <w:numPr>
          <w:ilvl w:val="0"/>
          <w:numId w:val="1"/>
        </w:numPr>
        <w:rPr>
          <w:b/>
          <w:bCs/>
        </w:rPr>
      </w:pPr>
      <w:r w:rsidRPr="00CD126D">
        <w:rPr>
          <w:b/>
          <w:bCs/>
        </w:rPr>
        <w:t>Vključena vsa pripadajoča montažna vodila in napajalni kabli (C13–C14, 250 V, 10 A).</w:t>
      </w:r>
    </w:p>
    <w:p w14:paraId="3CE6E32E" w14:textId="77777777" w:rsidR="00CD126D" w:rsidRPr="00CD126D" w:rsidRDefault="00CD126D" w:rsidP="00CD126D">
      <w:pPr>
        <w:ind w:left="720"/>
        <w:rPr>
          <w:b/>
          <w:bCs/>
        </w:rPr>
      </w:pPr>
    </w:p>
    <w:p w14:paraId="70702C73" w14:textId="77777777" w:rsidR="00CD126D" w:rsidRPr="00CD126D" w:rsidRDefault="00CD126D" w:rsidP="00CD126D">
      <w:pPr>
        <w:rPr>
          <w:b/>
          <w:bCs/>
        </w:rPr>
      </w:pPr>
      <w:r w:rsidRPr="00CD126D">
        <w:rPr>
          <w:b/>
          <w:bCs/>
        </w:rPr>
        <w:t>Arhitektura procesorjev in grafičnih pospeševalnikov (Superchip)</w:t>
      </w:r>
    </w:p>
    <w:p w14:paraId="1A661CB5" w14:textId="77777777" w:rsidR="00CD126D" w:rsidRPr="00CD126D" w:rsidRDefault="00CD126D" w:rsidP="00CD126D">
      <w:pPr>
        <w:numPr>
          <w:ilvl w:val="0"/>
          <w:numId w:val="2"/>
        </w:numPr>
        <w:rPr>
          <w:b/>
          <w:bCs/>
        </w:rPr>
      </w:pPr>
      <w:r w:rsidRPr="00CD126D">
        <w:rPr>
          <w:b/>
          <w:bCs/>
        </w:rPr>
        <w:t>Vgrajen dvojni superčip sistem z visoko hitrostno medsebojno povezavo (npr. NVIDIA GH200 NVL2 Grace Hopper 144 GB HBM3e 2P Dual Superchip ali enakovredno).</w:t>
      </w:r>
    </w:p>
    <w:p w14:paraId="5A681901" w14:textId="77777777" w:rsidR="00CD126D" w:rsidRPr="00CD126D" w:rsidRDefault="00CD126D" w:rsidP="00CD126D">
      <w:pPr>
        <w:numPr>
          <w:ilvl w:val="0"/>
          <w:numId w:val="2"/>
        </w:numPr>
        <w:rPr>
          <w:b/>
          <w:bCs/>
        </w:rPr>
      </w:pPr>
      <w:r w:rsidRPr="00CD126D">
        <w:rPr>
          <w:b/>
          <w:bCs/>
        </w:rPr>
        <w:t>Skupno najmanj 144 procesorskih jeder (ARM arhitektura).</w:t>
      </w:r>
    </w:p>
    <w:p w14:paraId="66941F9E" w14:textId="77777777" w:rsidR="00CD126D" w:rsidRDefault="00CD126D" w:rsidP="00CD126D">
      <w:pPr>
        <w:numPr>
          <w:ilvl w:val="0"/>
          <w:numId w:val="2"/>
        </w:numPr>
        <w:rPr>
          <w:b/>
          <w:bCs/>
        </w:rPr>
      </w:pPr>
      <w:r w:rsidRPr="00CD126D">
        <w:rPr>
          <w:b/>
          <w:bCs/>
        </w:rPr>
        <w:t>Integriran visoko zmogljiv grafični in sistemski pomnilnik s skupno kapaciteto najmanj 1,1–1,2 TB (vključno s hitrim HBM3e pomnilnikom na grafičnem delu za maksimalno podatkovno prepustnost).</w:t>
      </w:r>
    </w:p>
    <w:p w14:paraId="036F9340" w14:textId="77777777" w:rsidR="00CD126D" w:rsidRPr="00CD126D" w:rsidRDefault="00CD126D" w:rsidP="00CD126D">
      <w:pPr>
        <w:ind w:left="720"/>
        <w:rPr>
          <w:b/>
          <w:bCs/>
        </w:rPr>
      </w:pPr>
    </w:p>
    <w:p w14:paraId="5B8DCB96" w14:textId="77777777" w:rsidR="00CD126D" w:rsidRPr="00CD126D" w:rsidRDefault="00CD126D" w:rsidP="00CD126D">
      <w:pPr>
        <w:rPr>
          <w:b/>
          <w:bCs/>
        </w:rPr>
      </w:pPr>
      <w:r w:rsidRPr="00CD126D">
        <w:rPr>
          <w:b/>
          <w:bCs/>
        </w:rPr>
        <w:t>Sistemski diski (OS)</w:t>
      </w:r>
    </w:p>
    <w:p w14:paraId="69C81580" w14:textId="77777777" w:rsidR="00CD126D" w:rsidRDefault="00CD126D" w:rsidP="00CD126D">
      <w:pPr>
        <w:numPr>
          <w:ilvl w:val="0"/>
          <w:numId w:val="3"/>
        </w:numPr>
        <w:rPr>
          <w:b/>
          <w:bCs/>
        </w:rPr>
      </w:pPr>
      <w:r w:rsidRPr="00CD126D">
        <w:rPr>
          <w:b/>
          <w:bCs/>
        </w:rPr>
        <w:t>2 × 1,92 TB NVMe Gen4 Mainstream Performance M.2 SSD diska za operacijski sistem, tovarniško integrirana.</w:t>
      </w:r>
    </w:p>
    <w:p w14:paraId="02F70BDE" w14:textId="77777777" w:rsidR="00CD126D" w:rsidRPr="00CD126D" w:rsidRDefault="00CD126D" w:rsidP="00CD126D">
      <w:pPr>
        <w:ind w:left="720"/>
        <w:rPr>
          <w:b/>
          <w:bCs/>
        </w:rPr>
      </w:pPr>
    </w:p>
    <w:p w14:paraId="3BEDD1CD" w14:textId="77777777" w:rsidR="00CD126D" w:rsidRPr="00CD126D" w:rsidRDefault="00CD126D" w:rsidP="00CD126D">
      <w:pPr>
        <w:rPr>
          <w:b/>
          <w:bCs/>
        </w:rPr>
      </w:pPr>
      <w:r w:rsidRPr="00CD126D">
        <w:rPr>
          <w:b/>
          <w:bCs/>
        </w:rPr>
        <w:t>Podatkovni diski (Data)</w:t>
      </w:r>
    </w:p>
    <w:p w14:paraId="2D967A71" w14:textId="77777777" w:rsidR="00CD126D" w:rsidRPr="00CD126D" w:rsidRDefault="00CD126D" w:rsidP="00CD126D">
      <w:pPr>
        <w:numPr>
          <w:ilvl w:val="0"/>
          <w:numId w:val="4"/>
        </w:numPr>
        <w:rPr>
          <w:b/>
          <w:bCs/>
        </w:rPr>
      </w:pPr>
      <w:r w:rsidRPr="00CD126D">
        <w:rPr>
          <w:b/>
          <w:bCs/>
        </w:rPr>
        <w:t xml:space="preserve">2 × 7,68 TB NVMe Gen5 Mainstream Performance Read Intensive SSD diska (format E3.S ali enakovredno), tovarniško integrirana tako, da ima vsak superčip neposredno priključen svoj NVMe SSD (uravnotežena konfiguracija – </w:t>
      </w:r>
      <w:r w:rsidRPr="00CD126D">
        <w:rPr>
          <w:b/>
          <w:bCs/>
          <w:i/>
          <w:iCs/>
        </w:rPr>
        <w:t>balanced configuration</w:t>
      </w:r>
      <w:r w:rsidRPr="00CD126D">
        <w:rPr>
          <w:b/>
          <w:bCs/>
        </w:rPr>
        <w:t>).</w:t>
      </w:r>
    </w:p>
    <w:p w14:paraId="00E41A25" w14:textId="77777777" w:rsidR="00CD126D" w:rsidRDefault="00CD126D" w:rsidP="00CD126D">
      <w:pPr>
        <w:numPr>
          <w:ilvl w:val="0"/>
          <w:numId w:val="4"/>
        </w:numPr>
        <w:rPr>
          <w:b/>
          <w:bCs/>
        </w:rPr>
      </w:pPr>
      <w:r w:rsidRPr="00CD126D">
        <w:rPr>
          <w:b/>
          <w:bCs/>
        </w:rPr>
        <w:t>Vgrajena kletka/hrbtna plošča s podporo za najmanj 4 × EDSFF NVMe Gen5 diske za kasnejše nadgradnje.</w:t>
      </w:r>
    </w:p>
    <w:p w14:paraId="3BB960A2" w14:textId="77777777" w:rsidR="00CD126D" w:rsidRPr="00CD126D" w:rsidRDefault="00CD126D" w:rsidP="00CD126D">
      <w:pPr>
        <w:ind w:left="720"/>
        <w:rPr>
          <w:b/>
          <w:bCs/>
        </w:rPr>
      </w:pPr>
    </w:p>
    <w:p w14:paraId="49CBAFCB" w14:textId="77777777" w:rsidR="00CD126D" w:rsidRPr="00CD126D" w:rsidRDefault="00CD126D" w:rsidP="00CD126D">
      <w:pPr>
        <w:rPr>
          <w:b/>
          <w:bCs/>
        </w:rPr>
      </w:pPr>
      <w:r w:rsidRPr="00CD126D">
        <w:rPr>
          <w:b/>
          <w:bCs/>
        </w:rPr>
        <w:t>Mrežne povezave</w:t>
      </w:r>
    </w:p>
    <w:p w14:paraId="2623DAFC" w14:textId="77777777" w:rsidR="00CD126D" w:rsidRDefault="00CD126D" w:rsidP="00CD126D">
      <w:pPr>
        <w:numPr>
          <w:ilvl w:val="0"/>
          <w:numId w:val="5"/>
        </w:numPr>
        <w:rPr>
          <w:b/>
          <w:bCs/>
        </w:rPr>
      </w:pPr>
      <w:r w:rsidRPr="00CD126D">
        <w:rPr>
          <w:b/>
          <w:bCs/>
        </w:rPr>
        <w:t>Najmanj 1 × dual-port (2 × vmesnik) 10/25 GbE SFP28 mrežna kartica (npr. Mellanox MCX631102AS-ADAT ali enakovredno).</w:t>
      </w:r>
    </w:p>
    <w:p w14:paraId="5A68DCA1" w14:textId="77777777" w:rsidR="00CD126D" w:rsidRPr="00CD126D" w:rsidRDefault="00CD126D" w:rsidP="00CD126D">
      <w:pPr>
        <w:ind w:left="720"/>
        <w:rPr>
          <w:b/>
          <w:bCs/>
        </w:rPr>
      </w:pPr>
    </w:p>
    <w:p w14:paraId="4894CB7D" w14:textId="77777777" w:rsidR="00CD126D" w:rsidRPr="00CD126D" w:rsidRDefault="00CD126D" w:rsidP="00CD126D">
      <w:pPr>
        <w:rPr>
          <w:b/>
          <w:bCs/>
        </w:rPr>
      </w:pPr>
      <w:r w:rsidRPr="00CD126D">
        <w:rPr>
          <w:b/>
          <w:bCs/>
        </w:rPr>
        <w:t>Sistem upravljanja in nadzora</w:t>
      </w:r>
    </w:p>
    <w:p w14:paraId="0F4F615D" w14:textId="77777777" w:rsidR="00CD126D" w:rsidRPr="00CD126D" w:rsidRDefault="00CD126D" w:rsidP="00CD126D">
      <w:pPr>
        <w:numPr>
          <w:ilvl w:val="0"/>
          <w:numId w:val="6"/>
        </w:numPr>
        <w:rPr>
          <w:b/>
          <w:bCs/>
        </w:rPr>
      </w:pPr>
      <w:r w:rsidRPr="00CD126D">
        <w:rPr>
          <w:b/>
          <w:bCs/>
        </w:rPr>
        <w:t>Vgrajen napredni modul za oddaljeno upravljanje (npr. HPE iLO Advanced ali enakovredno) z ustrezno licenco in podporo za celotno garancijsko obdobje (5 let).</w:t>
      </w:r>
    </w:p>
    <w:p w14:paraId="7356F649" w14:textId="77777777" w:rsidR="00CD126D" w:rsidRDefault="00CD126D" w:rsidP="00CD126D">
      <w:pPr>
        <w:numPr>
          <w:ilvl w:val="0"/>
          <w:numId w:val="6"/>
        </w:numPr>
        <w:rPr>
          <w:b/>
          <w:bCs/>
        </w:rPr>
      </w:pPr>
      <w:r w:rsidRPr="00CD126D">
        <w:rPr>
          <w:b/>
          <w:bCs/>
        </w:rPr>
        <w:t>Vključena licenca za centralizirano upravljanje infrastrukture (npr. HPE OneView) s podporo za celotno garancijsko obdobje.</w:t>
      </w:r>
    </w:p>
    <w:p w14:paraId="7E903FC1" w14:textId="77777777" w:rsidR="00CD126D" w:rsidRPr="00CD126D" w:rsidRDefault="00CD126D" w:rsidP="00CD126D">
      <w:pPr>
        <w:ind w:left="720"/>
        <w:rPr>
          <w:b/>
          <w:bCs/>
        </w:rPr>
      </w:pPr>
    </w:p>
    <w:p w14:paraId="6A3355FD" w14:textId="77777777" w:rsidR="00CD126D" w:rsidRPr="00CD126D" w:rsidRDefault="00CD126D" w:rsidP="00CD126D">
      <w:pPr>
        <w:rPr>
          <w:b/>
          <w:bCs/>
        </w:rPr>
      </w:pPr>
      <w:r w:rsidRPr="00CD126D">
        <w:rPr>
          <w:b/>
          <w:bCs/>
        </w:rPr>
        <w:t>Napajanje in hlajenje</w:t>
      </w:r>
    </w:p>
    <w:p w14:paraId="4E76B455" w14:textId="77777777" w:rsidR="00CD126D" w:rsidRDefault="00CD126D" w:rsidP="00CD126D">
      <w:pPr>
        <w:numPr>
          <w:ilvl w:val="0"/>
          <w:numId w:val="7"/>
        </w:numPr>
        <w:rPr>
          <w:b/>
          <w:bCs/>
        </w:rPr>
      </w:pPr>
      <w:r w:rsidRPr="00CD126D">
        <w:rPr>
          <w:b/>
          <w:bCs/>
        </w:rPr>
        <w:t>Visoko redundantno napajanje z učinkovitostjo Titanium, sestavljeno iz 4 × hot-plug napajalnih modulov (1.800–2.200 W), za zagotavljanje stabilnega delovanja pri polni obremenitvi.</w:t>
      </w:r>
    </w:p>
    <w:p w14:paraId="10C42C50" w14:textId="77777777" w:rsidR="00CD126D" w:rsidRPr="00CD126D" w:rsidRDefault="00CD126D" w:rsidP="00CD126D">
      <w:pPr>
        <w:ind w:left="720"/>
        <w:rPr>
          <w:b/>
          <w:bCs/>
        </w:rPr>
      </w:pPr>
    </w:p>
    <w:p w14:paraId="3AF11086" w14:textId="77777777" w:rsidR="00CD126D" w:rsidRPr="00CD126D" w:rsidRDefault="00CD126D" w:rsidP="00CD126D">
      <w:pPr>
        <w:rPr>
          <w:b/>
          <w:bCs/>
        </w:rPr>
      </w:pPr>
      <w:r w:rsidRPr="00CD126D">
        <w:rPr>
          <w:b/>
          <w:bCs/>
        </w:rPr>
        <w:t>Storitve namestitve</w:t>
      </w:r>
    </w:p>
    <w:p w14:paraId="4D13B0E2" w14:textId="77777777" w:rsidR="00CD126D" w:rsidRDefault="00CD126D" w:rsidP="00CD126D">
      <w:pPr>
        <w:numPr>
          <w:ilvl w:val="0"/>
          <w:numId w:val="8"/>
        </w:numPr>
        <w:rPr>
          <w:b/>
          <w:bCs/>
        </w:rPr>
      </w:pPr>
      <w:r w:rsidRPr="00CD126D">
        <w:rPr>
          <w:b/>
          <w:bCs/>
        </w:rPr>
        <w:t xml:space="preserve">Vključena storitev strokovne montaže, zagona in osnovne konfiguracije strežnika na lokaciji naročnika, izvedena s strani certificiranih strokovnjakov (tovarniški zagon / </w:t>
      </w:r>
      <w:r w:rsidRPr="00CD126D">
        <w:rPr>
          <w:b/>
          <w:bCs/>
          <w:i/>
          <w:iCs/>
        </w:rPr>
        <w:t>startup service</w:t>
      </w:r>
      <w:r w:rsidRPr="00CD126D">
        <w:rPr>
          <w:b/>
          <w:bCs/>
        </w:rPr>
        <w:t>).</w:t>
      </w:r>
    </w:p>
    <w:p w14:paraId="733CD374" w14:textId="77777777" w:rsidR="00CD126D" w:rsidRPr="00CD126D" w:rsidRDefault="00CD126D" w:rsidP="00CD126D">
      <w:pPr>
        <w:ind w:left="720"/>
        <w:rPr>
          <w:b/>
          <w:bCs/>
        </w:rPr>
      </w:pPr>
    </w:p>
    <w:p w14:paraId="07759D88" w14:textId="77777777" w:rsidR="00CD126D" w:rsidRPr="00CD126D" w:rsidRDefault="00CD126D" w:rsidP="00CD126D">
      <w:pPr>
        <w:rPr>
          <w:b/>
          <w:bCs/>
        </w:rPr>
      </w:pPr>
      <w:r w:rsidRPr="00CD126D">
        <w:rPr>
          <w:b/>
          <w:bCs/>
        </w:rPr>
        <w:t>Garancija in tehnična podpora (SLA)</w:t>
      </w:r>
    </w:p>
    <w:p w14:paraId="46290C33" w14:textId="77777777" w:rsidR="00CD126D" w:rsidRPr="00CD126D" w:rsidRDefault="00CD126D" w:rsidP="00CD126D">
      <w:pPr>
        <w:numPr>
          <w:ilvl w:val="0"/>
          <w:numId w:val="9"/>
        </w:numPr>
        <w:rPr>
          <w:b/>
          <w:bCs/>
        </w:rPr>
      </w:pPr>
      <w:r w:rsidRPr="00CD126D">
        <w:rPr>
          <w:b/>
          <w:bCs/>
        </w:rPr>
        <w:t>Polna 5-letna tovarniška garancija proizvajalca (vse komponente morajo biti krite s strani istega proizvajalca).</w:t>
      </w:r>
    </w:p>
    <w:p w14:paraId="2FC5D74C" w14:textId="77777777" w:rsidR="00CD126D" w:rsidRPr="00CD126D" w:rsidRDefault="00CD126D" w:rsidP="00CD126D">
      <w:pPr>
        <w:numPr>
          <w:ilvl w:val="0"/>
          <w:numId w:val="9"/>
        </w:numPr>
        <w:rPr>
          <w:b/>
          <w:bCs/>
        </w:rPr>
      </w:pPr>
      <w:r w:rsidRPr="00CD126D">
        <w:rPr>
          <w:b/>
          <w:bCs/>
        </w:rPr>
        <w:t>Zahtevan nivo podpore: dostava nadomestnih delov naslednji delovni dan (</w:t>
      </w:r>
      <w:r w:rsidRPr="00CD126D">
        <w:rPr>
          <w:b/>
          <w:bCs/>
          <w:i/>
          <w:iCs/>
        </w:rPr>
        <w:t xml:space="preserve">Next Business Day Parts </w:t>
      </w:r>
      <w:r w:rsidRPr="00CD126D">
        <w:rPr>
          <w:b/>
          <w:bCs/>
          <w:i/>
          <w:iCs/>
        </w:rPr>
        <w:lastRenderedPageBreak/>
        <w:t>Exchange / Parts Only</w:t>
      </w:r>
      <w:r w:rsidRPr="00CD126D">
        <w:rPr>
          <w:b/>
          <w:bCs/>
        </w:rPr>
        <w:t>).</w:t>
      </w:r>
    </w:p>
    <w:p w14:paraId="53E13F1F" w14:textId="77777777" w:rsidR="00CD126D" w:rsidRPr="00CD126D" w:rsidRDefault="00CD126D" w:rsidP="00CD126D">
      <w:pPr>
        <w:numPr>
          <w:ilvl w:val="0"/>
          <w:numId w:val="9"/>
        </w:numPr>
        <w:rPr>
          <w:b/>
          <w:bCs/>
        </w:rPr>
      </w:pPr>
      <w:r w:rsidRPr="00CD126D">
        <w:rPr>
          <w:b/>
          <w:bCs/>
        </w:rPr>
        <w:t>V primeru potrjene strojne okvare mora proizvajalec zagotoviti odpošiljanje in dostavo originalnega nadomestnega dela na naslov naročnika naslednji delovni dan.</w:t>
      </w:r>
    </w:p>
    <w:p w14:paraId="033F712A" w14:textId="77777777" w:rsidR="00CD126D" w:rsidRPr="00CD126D" w:rsidRDefault="00CD126D" w:rsidP="00CD126D">
      <w:pPr>
        <w:numPr>
          <w:ilvl w:val="0"/>
          <w:numId w:val="9"/>
        </w:numPr>
        <w:rPr>
          <w:b/>
          <w:bCs/>
        </w:rPr>
      </w:pPr>
      <w:r w:rsidRPr="00CD126D">
        <w:rPr>
          <w:b/>
          <w:bCs/>
        </w:rPr>
        <w:t>Posredovanje tehnika na lokaciji ni zahtevano.</w:t>
      </w:r>
    </w:p>
    <w:p w14:paraId="18325137" w14:textId="435F1CC4" w:rsidR="002A4DFC" w:rsidRPr="00CD126D" w:rsidRDefault="002A4DFC" w:rsidP="00CD126D">
      <w:pPr>
        <w:ind w:left="720"/>
        <w:rPr>
          <w:b/>
          <w:bCs/>
        </w:rPr>
      </w:pPr>
      <w:r>
        <w:tab/>
      </w:r>
    </w:p>
    <w:p w14:paraId="5D6265CC" w14:textId="112886D7" w:rsidR="002A4DFC" w:rsidRDefault="002A4DFC" w:rsidP="002A4DFC">
      <w:r>
        <w:t xml:space="preserve">Izvajalec mora ponujeno opremo dobaviti na lokacijo naročnika v </w:t>
      </w:r>
      <w:r w:rsidR="00976679">
        <w:t>Ljubljani ali Novi Gorici</w:t>
      </w:r>
      <w:r>
        <w:t>.</w:t>
      </w:r>
    </w:p>
    <w:p w14:paraId="1C8A2FC2" w14:textId="77777777" w:rsidR="00201699" w:rsidRDefault="00201699"/>
    <w:p w14:paraId="35556438" w14:textId="77777777" w:rsidR="00976679" w:rsidRDefault="00976679"/>
    <w:sectPr w:rsidR="00976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73265" w14:textId="77777777" w:rsidR="002A4DFC" w:rsidRDefault="002A4DFC" w:rsidP="002A4DFC">
      <w:pPr>
        <w:spacing w:line="240" w:lineRule="auto"/>
      </w:pPr>
      <w:r>
        <w:separator/>
      </w:r>
    </w:p>
  </w:endnote>
  <w:endnote w:type="continuationSeparator" w:id="0">
    <w:p w14:paraId="7DF97A5A" w14:textId="77777777" w:rsidR="002A4DFC" w:rsidRDefault="002A4DFC" w:rsidP="002A4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6F027" w14:textId="77777777" w:rsidR="002A4DFC" w:rsidRDefault="002A4DFC" w:rsidP="002A4DFC">
      <w:pPr>
        <w:spacing w:line="240" w:lineRule="auto"/>
      </w:pPr>
      <w:r>
        <w:separator/>
      </w:r>
    </w:p>
  </w:footnote>
  <w:footnote w:type="continuationSeparator" w:id="0">
    <w:p w14:paraId="11A83A79" w14:textId="77777777" w:rsidR="002A4DFC" w:rsidRDefault="002A4DFC" w:rsidP="002A4D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81687"/>
    <w:multiLevelType w:val="multilevel"/>
    <w:tmpl w:val="CF545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E41321"/>
    <w:multiLevelType w:val="multilevel"/>
    <w:tmpl w:val="35A46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757F2"/>
    <w:multiLevelType w:val="multilevel"/>
    <w:tmpl w:val="3ADA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F12E86"/>
    <w:multiLevelType w:val="multilevel"/>
    <w:tmpl w:val="0FF20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DD31B8"/>
    <w:multiLevelType w:val="multilevel"/>
    <w:tmpl w:val="528A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781316"/>
    <w:multiLevelType w:val="multilevel"/>
    <w:tmpl w:val="D7A2E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DC2A82"/>
    <w:multiLevelType w:val="multilevel"/>
    <w:tmpl w:val="0A36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FB4CF6"/>
    <w:multiLevelType w:val="multilevel"/>
    <w:tmpl w:val="91E8E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4E01F9"/>
    <w:multiLevelType w:val="multilevel"/>
    <w:tmpl w:val="B2DA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DFC"/>
    <w:rsid w:val="00151553"/>
    <w:rsid w:val="00193D4A"/>
    <w:rsid w:val="00201699"/>
    <w:rsid w:val="00216211"/>
    <w:rsid w:val="002651C3"/>
    <w:rsid w:val="002914FF"/>
    <w:rsid w:val="002A4DFC"/>
    <w:rsid w:val="003974BF"/>
    <w:rsid w:val="003C04D2"/>
    <w:rsid w:val="003C6B6D"/>
    <w:rsid w:val="004B075A"/>
    <w:rsid w:val="00567F24"/>
    <w:rsid w:val="00591268"/>
    <w:rsid w:val="005E16FD"/>
    <w:rsid w:val="00783EE4"/>
    <w:rsid w:val="007E0B6B"/>
    <w:rsid w:val="00886398"/>
    <w:rsid w:val="00932891"/>
    <w:rsid w:val="00933605"/>
    <w:rsid w:val="009706B1"/>
    <w:rsid w:val="00976679"/>
    <w:rsid w:val="009C698B"/>
    <w:rsid w:val="009C7589"/>
    <w:rsid w:val="00AE2565"/>
    <w:rsid w:val="00B210FB"/>
    <w:rsid w:val="00CD126D"/>
    <w:rsid w:val="00D77E2B"/>
    <w:rsid w:val="00EE22C1"/>
    <w:rsid w:val="13037A84"/>
    <w:rsid w:val="215DA076"/>
    <w:rsid w:val="287EBB20"/>
    <w:rsid w:val="47F9BCA3"/>
    <w:rsid w:val="60CB7178"/>
    <w:rsid w:val="72F1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EA881F0"/>
  <w15:chartTrackingRefBased/>
  <w15:docId w15:val="{46654D99-32AA-4A3C-B06C-6AFAB7C9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rsid w:val="002A4DFC"/>
    <w:pPr>
      <w:widowControl w:val="0"/>
      <w:suppressAutoHyphens/>
      <w:spacing w:after="0" w:line="240" w:lineRule="exact"/>
    </w:pPr>
    <w:rPr>
      <w:rFonts w:ascii="Calibri" w:eastAsia="Arial Unicode MS" w:hAnsi="Calibri" w:cs="Verdana"/>
      <w:color w:val="5A6066"/>
      <w:kern w:val="1"/>
      <w:sz w:val="19"/>
      <w:szCs w:val="20"/>
      <w:lang w:eastAsia="hi-IN" w:bidi="hi-IN"/>
    </w:rPr>
  </w:style>
  <w:style w:type="paragraph" w:styleId="Heading3">
    <w:name w:val="heading 3"/>
    <w:basedOn w:val="Normal"/>
    <w:link w:val="Heading3Char"/>
    <w:uiPriority w:val="9"/>
    <w:qFormat/>
    <w:rsid w:val="002A4DFC"/>
    <w:pPr>
      <w:widowControl/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7"/>
      <w:szCs w:val="27"/>
      <w:lang w:eastAsia="sl-SI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A4DFC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styleId="Hyperlink">
    <w:name w:val="Hyperlink"/>
    <w:basedOn w:val="DefaultParagraphFont"/>
    <w:uiPriority w:val="99"/>
    <w:semiHidden/>
    <w:unhideWhenUsed/>
    <w:rsid w:val="002A4D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9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2488</Characters>
  <Application>Microsoft Office Word</Application>
  <DocSecurity>0</DocSecurity>
  <Lines>20</Lines>
  <Paragraphs>5</Paragraphs>
  <ScaleCrop>false</ScaleCrop>
  <Company>GENINGSCCM02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Osterman</dc:creator>
  <cp:keywords/>
  <dc:description/>
  <cp:lastModifiedBy>Andreja Počivavšek Možina</cp:lastModifiedBy>
  <cp:revision>3</cp:revision>
  <dcterms:created xsi:type="dcterms:W3CDTF">2026-08-10T11:36:00Z</dcterms:created>
  <dcterms:modified xsi:type="dcterms:W3CDTF">2026-08-13T11:36:00Z</dcterms:modified>
</cp:coreProperties>
</file>